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08"/>
          <w:tab w:val="left" w:pos="1416"/>
          <w:tab w:val="center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Załącznik do uchwały nr 10 </w:t>
      </w:r>
    </w:p>
    <w:p w:rsidR="00000000" w:rsidDel="00000000" w:rsidP="00000000" w:rsidRDefault="00000000" w:rsidRPr="00000000" w14:paraId="00000002">
      <w:pPr>
        <w:tabs>
          <w:tab w:val="left" w:pos="708"/>
          <w:tab w:val="left" w:pos="1416"/>
          <w:tab w:val="center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Komitetu Rady Ministrów do Spraw Cyfryzacji </w:t>
      </w:r>
    </w:p>
    <w:p w:rsidR="00000000" w:rsidDel="00000000" w:rsidP="00000000" w:rsidRDefault="00000000" w:rsidRPr="00000000" w14:paraId="00000003">
      <w:pPr>
        <w:tabs>
          <w:tab w:val="left" w:pos="708"/>
          <w:tab w:val="left" w:pos="1416"/>
          <w:tab w:val="center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 dnia 16 kwietnia 2020 r.  </w:t>
      </w:r>
    </w:p>
    <w:p w:rsidR="00000000" w:rsidDel="00000000" w:rsidP="00000000" w:rsidRDefault="00000000" w:rsidRPr="00000000" w14:paraId="00000004">
      <w:pPr>
        <w:tabs>
          <w:tab w:val="left" w:pos="708"/>
          <w:tab w:val="left" w:pos="1416"/>
          <w:tab w:val="center" w:pos="4748"/>
        </w:tabs>
        <w:spacing w:after="0" w:before="180" w:lineRule="auto"/>
        <w:ind w:firstLine="425"/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after="120" w:before="0" w:line="24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Raport z postępu rzeczowo-finansowego projektu informatycznego </w:t>
      </w:r>
    </w:p>
    <w:p w:rsidR="00000000" w:rsidDel="00000000" w:rsidP="00000000" w:rsidRDefault="00000000" w:rsidRPr="00000000" w14:paraId="00000006">
      <w:pPr>
        <w:pStyle w:val="Heading1"/>
        <w:spacing w:after="120" w:before="0" w:line="24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za IV kwartał 2021 roku</w:t>
      </w:r>
    </w:p>
    <w:p w:rsidR="00000000" w:rsidDel="00000000" w:rsidP="00000000" w:rsidRDefault="00000000" w:rsidRPr="00000000" w14:paraId="00000007">
      <w:pPr>
        <w:spacing w:after="36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(dane należy wskazać w zakresie odnoszącym się do okresu sprawozdawczego)</w:t>
      </w:r>
    </w:p>
    <w:tbl>
      <w:tblPr>
        <w:tblStyle w:val="Table1"/>
        <w:tblW w:w="906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372"/>
        <w:tblGridChange w:id="0">
          <w:tblGrid>
            <w:gridCol w:w="2689"/>
            <w:gridCol w:w="6372"/>
          </w:tblGrid>
        </w:tblGridChange>
      </w:tblGrid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8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Tytuł 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Arial" w:cs="Arial" w:eastAsia="Arial" w:hAnsi="Arial"/>
                <w:i w:val="1"/>
                <w:color w:val="0070c0"/>
                <w:sz w:val="20"/>
                <w:szCs w:val="20"/>
              </w:rPr>
            </w:pPr>
            <w:bookmarkStart w:colFirst="0" w:colLast="0" w:name="_heading=h.3znysh7" w:id="0"/>
            <w:bookmarkEnd w:id="0"/>
            <w:r w:rsidDel="00000000" w:rsidR="00000000" w:rsidRPr="00000000">
              <w:rPr>
                <w:rtl w:val="0"/>
              </w:rPr>
              <w:t xml:space="preserve">Prowadzenie i rozwój Zintegrowanego Rejestru Kwalifikacji (etap 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A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Wnioskodawca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Minister Edukacji i Nauki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Beneficjent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Instytut Badań Edukacyjnych, ul. Górczewska 8, 01-180 Warszawa</w:t>
            </w:r>
            <w:r w:rsidDel="00000000" w:rsidR="00000000" w:rsidRPr="00000000">
              <w:rPr>
                <w:rFonts w:ascii="Arial" w:cs="Arial" w:eastAsia="Arial" w:hAnsi="Arial"/>
                <w:color w:val="2c2d2d"/>
                <w:sz w:val="18"/>
                <w:szCs w:val="18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E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Partnerzy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rFonts w:ascii="Arial" w:cs="Arial" w:eastAsia="Arial" w:hAnsi="Arial"/>
                <w:i w:val="1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Brak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0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Źródło finansowania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Program Operacyjny Wiedza Edukacja Rozwój, Oś priorytetowa II, Działanie 2.11 Zapewnienie funkcjonowania Zintegrowanego Rejestru Kwalifikacji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w części EFS: 84,28%, w części wkładu krajowego: 15,72%</w:t>
            </w:r>
          </w:p>
          <w:p w:rsidR="00000000" w:rsidDel="00000000" w:rsidP="00000000" w:rsidRDefault="00000000" w:rsidRPr="00000000" w14:paraId="00000013">
            <w:pPr>
              <w:spacing w:line="276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budżet państwa: część 30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Całkowity koszt </w:t>
            </w:r>
          </w:p>
          <w:p w:rsidR="00000000" w:rsidDel="00000000" w:rsidP="00000000" w:rsidRDefault="00000000" w:rsidRPr="00000000" w14:paraId="00000015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Wartość początkowa projektu: 30 362 077,79 zł brutto</w:t>
            </w:r>
          </w:p>
          <w:p w:rsidR="00000000" w:rsidDel="00000000" w:rsidP="00000000" w:rsidRDefault="00000000" w:rsidRPr="00000000" w14:paraId="0000001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zgodnie z danymi zawartymi w umowie o dofinansowanie nr POWR.02.11.00-00-001/20 z dnia 30.07.2020 r. (dokonano modyfikacji wniosku po I ocenie merytorycznej)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Całkowity koszt projektu - wydatki kwalifikowalne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30 362 077,79 zł brutto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Okres realizacji </w:t>
            </w:r>
          </w:p>
          <w:p w:rsidR="00000000" w:rsidDel="00000000" w:rsidP="00000000" w:rsidRDefault="00000000" w:rsidRPr="00000000" w14:paraId="0000001B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90" w:hanging="19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data rozpoczęcia realizacji projektu: 01-10-2020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90" w:hanging="19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data zakończenia realizacji projektu: 31-03-2023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9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zgodnie z danymi zawartymi w umowie o dofinansowanie nr POWR.02.11.00-00-001/20 z dnia 30.07.2020 r.</w:t>
            </w:r>
          </w:p>
          <w:p w:rsidR="00000000" w:rsidDel="00000000" w:rsidP="00000000" w:rsidRDefault="00000000" w:rsidRPr="00000000" w14:paraId="0000002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Style w:val="Heading2"/>
        <w:numPr>
          <w:ilvl w:val="0"/>
          <w:numId w:val="2"/>
        </w:numPr>
        <w:spacing w:before="360" w:lineRule="auto"/>
        <w:ind w:left="284" w:right="282" w:hanging="284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Otoczenie prawne </w:t>
      </w:r>
      <w:r w:rsidDel="00000000" w:rsidR="00000000" w:rsidRPr="00000000">
        <w:rPr>
          <w:rFonts w:ascii="Arial" w:cs="Arial" w:eastAsia="Arial" w:hAnsi="Arial"/>
          <w:color w:val="767171"/>
          <w:sz w:val="20"/>
          <w:szCs w:val="20"/>
          <w:rtl w:val="0"/>
        </w:rPr>
        <w:t xml:space="preserve">&lt;maksymalnie 1000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lineRule="auto"/>
        <w:jc w:val="both"/>
        <w:rPr/>
      </w:pPr>
      <w:r w:rsidDel="00000000" w:rsidR="00000000" w:rsidRPr="00000000">
        <w:rPr>
          <w:rtl w:val="0"/>
        </w:rPr>
        <w:t xml:space="preserve">ZRK działa na podstawie ustawy z dnia 22 grudnia 2015 r. o Zintegrowanym Systemie Kwalifikacji. Marszałek Sejmu Rzeczypospolitej Polskiej obwieszczeniem z dnia 25 października 2018 r. ogłosił jednolity tekst ustawy o ZSK.</w:t>
      </w:r>
    </w:p>
    <w:p w:rsidR="00000000" w:rsidDel="00000000" w:rsidP="00000000" w:rsidRDefault="00000000" w:rsidRPr="00000000" w14:paraId="00000023">
      <w:pPr>
        <w:spacing w:after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numPr>
          <w:ilvl w:val="0"/>
          <w:numId w:val="2"/>
        </w:numPr>
        <w:ind w:left="426" w:hanging="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Postęp finansowy</w:t>
      </w:r>
      <w:r w:rsidDel="00000000" w:rsidR="00000000" w:rsidRPr="00000000">
        <w:rPr>
          <w:rtl w:val="0"/>
        </w:rPr>
      </w:r>
    </w:p>
    <w:tbl>
      <w:tblPr>
        <w:tblStyle w:val="Table2"/>
        <w:tblW w:w="963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3260"/>
        <w:gridCol w:w="3402"/>
        <w:tblGridChange w:id="0">
          <w:tblGrid>
            <w:gridCol w:w="2972"/>
            <w:gridCol w:w="3260"/>
            <w:gridCol w:w="3402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Czas realizacji projektu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środków wydatkowanych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środków zaangażowanych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% czasu przeznaczonego na realizację projektu, który upłynął do końca okresu sprawozdawczego: </w:t>
            </w:r>
            <w:r w:rsidDel="00000000" w:rsidR="00000000" w:rsidRPr="00000000">
              <w:rPr>
                <w:b w:val="1"/>
                <w:rtl w:val="0"/>
              </w:rPr>
              <w:t xml:space="preserve">50% 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(15 m-cy / 30 m-cy)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% wartość wydatków poniesionych w projekcie w stosunku do całkowitego kosztu p</w:t>
            </w:r>
            <w:r w:rsidDel="00000000" w:rsidR="00000000" w:rsidRPr="00000000">
              <w:rPr>
                <w:highlight w:val="white"/>
                <w:rtl w:val="0"/>
              </w:rPr>
              <w:t xml:space="preserve">rojektu: 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34,95%</w:t>
            </w:r>
            <w:r w:rsidDel="00000000" w:rsidR="00000000" w:rsidRPr="00000000">
              <w:rPr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(10 611 968,48 zł / 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30 362 077,79 zł)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Del="00000000" w:rsidR="00000000" w:rsidRPr="00000000">
              <w:rPr>
                <w:b w:val="1"/>
                <w:rtl w:val="0"/>
              </w:rPr>
              <w:t xml:space="preserve">30,55%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(9 275 947,99 zł /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30 362 077,79 zł; kwota ta stanowi sumę zatwierdzonych w 100% wniosków o płatność za okres 10/2020-11/2021 przez Instytucję Pośredniczącą - Ministerstwo Edukacji i Nauki)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% wartość środków zaangażowanych w projekcie: 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highlight w:val="white"/>
              </w:rPr>
            </w:pP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34,95%</w:t>
            </w:r>
            <w:r w:rsidDel="00000000" w:rsidR="00000000" w:rsidRPr="00000000">
              <w:rPr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(10 611 968,48 zł / 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b w:val="1"/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30 362 077,79 zł)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pStyle w:val="Heading3"/>
        <w:spacing w:after="200" w:lineRule="auto"/>
        <w:rPr>
          <w:rFonts w:ascii="Arial" w:cs="Arial" w:eastAsia="Arial" w:hAnsi="Arial"/>
          <w:color w:val="76717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3"/>
        <w:numPr>
          <w:ilvl w:val="0"/>
          <w:numId w:val="2"/>
        </w:numPr>
        <w:spacing w:after="200" w:lineRule="auto"/>
        <w:ind w:left="426" w:hanging="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Postęp rzeczowy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767171"/>
          <w:sz w:val="20"/>
          <w:szCs w:val="20"/>
          <w:rtl w:val="0"/>
        </w:rPr>
        <w:t xml:space="preserve">&lt;maksymalnie 5000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Kamienie milowe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–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zgodnie z danymi zawartymi w umowie o dofinansowanie nr POWR.02.11.00-00-001/20 z dnia 30.07.2020 r. oraz zgodnie z danymi po modyfikacji wniosku o dofinansowanie zatwierdzonej przez MEiN (pismo zatwierdzające nr DFS-WDR.612.11.2021.MD.25 z dnia 02.09.2021 r., zgodnie z którym przedmiotowa modyfikacja nie wymaga sporządzenia aneksu do umowy </w:t>
        <w:br w:type="textWrapping"/>
        <w:t xml:space="preserve">o dofinansowanie projektu). </w:t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Symbolem * oznaczono kamienie milowe, których planowany termin osiągnięcia uległ zmianie.</w:t>
      </w:r>
    </w:p>
    <w:p w:rsidR="00000000" w:rsidDel="00000000" w:rsidP="00000000" w:rsidRDefault="00000000" w:rsidRPr="00000000" w14:paraId="0000003B">
      <w:pPr>
        <w:spacing w:after="12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6"/>
        <w:gridCol w:w="1507"/>
        <w:gridCol w:w="1289"/>
        <w:gridCol w:w="1914"/>
        <w:gridCol w:w="2802"/>
        <w:tblGridChange w:id="0">
          <w:tblGrid>
            <w:gridCol w:w="2126"/>
            <w:gridCol w:w="1507"/>
            <w:gridCol w:w="1289"/>
            <w:gridCol w:w="1914"/>
            <w:gridCol w:w="2802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Powiązane wskaźniki projektu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Planowany termin osiągnięcia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Rzeczywisty termin osiągnięcia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Status realizacji kamienia milowego -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Określenie założeń funkcjonalnych dla przeglądarki ram kwalifikacji (PRK, SRK)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70c0"/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05-2021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05-2021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Wyłonienie wykonawcy narzędzia do automatycznego wspomagania doradztwa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05-2022*</w:t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color w:val="222222"/>
                <w:sz w:val="18"/>
                <w:szCs w:val="18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12-2021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Osiągnięty.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>
                <w:i w:val="1"/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Przesunięcie terminu z 11/2021 na 05/2022 na podstawie pisemnej zgody Instytucji Pośredniczącej (MEiN), nr pisma DFS-WRCP.612.35.2021.PJ.36 z dnia 20 grudnia 2021 r. (korespondencja za pośrednictwem systemu informatycznego SL2014). IP w ww. piśmie zobowiązała IBE do uwzględnienia zmiany terminu osiągnięcia kamienia milowego w najbliższej modyfikacji wniosku o dofinansowanie. </w:t>
            </w:r>
            <w:r w:rsidDel="00000000" w:rsidR="00000000" w:rsidRPr="00000000">
              <w:rPr>
                <w:i w:val="1"/>
                <w:color w:val="222222"/>
                <w:rtl w:val="0"/>
              </w:rPr>
              <w:t xml:space="preserve">Powodem przesunięcia terminu osiągnięcia kamienia milowego było złożenie odwołania do Krajowej Izby Odwoławczej przez jednego z oferentów w przetargu na wyłonienie wykonawcy narzędzia do automatycznego wspomagania doradztwa. KIO oddalił odwołanie dn. 7.12.2021 r. (sygn. akt KIO 3423/21), tym samym umowa z Wykonawcą została podpisana dn. 16.12.2021 r., kamień milowy został osiągnięty.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color w:val="2222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Podstawa prawna: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color w:val="222222"/>
              </w:rPr>
            </w:pPr>
            <w:r w:rsidDel="00000000" w:rsidR="00000000" w:rsidRPr="00000000">
              <w:rPr>
                <w:color w:val="222222"/>
                <w:rtl w:val="0"/>
              </w:rPr>
              <w:t xml:space="preserve">Umowa o dofinansowanie projektu § 24 pkt 1 Beneficjent może dokonywać zmian w Projekcie pod warunkiem ich zgłoszenia Instytucji Pośredniczącej w SL2014 oraz Systemie Obsługi Wniosków Aplikacyjnych nie później niż na 1 miesiąc przed planowanym zakończeniem realizacji Projektu oraz przekazania zaktualizowanego Wniosku i uzyskania akceptacji Instytucji Pośredniczącej, z zastrzeżeniem ust. 2 i 3. Akceptacja, o której mowa w zdaniu pierwszym, jest dokonywana w SL2014 oraz Systemie Obsługi Wniosków Aplikacyjnych w terminie 15 dni roboczych i nie wymaga formy aneksu do umowy.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Uruchomienie przeglądarki ram kwalifikacji (PRK, SRK)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70c0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12-2021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12-2021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Raport śródokresowy z działalności związanej z prowadzeniem ZRK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04-2022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9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Raport śródokresowy z działalności związanej z gromadzeniem danych o certyfikatach wydawanych przez instytucje certyfikujące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70c0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04-2022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="240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Sprawozdanie śródokresowe z działalności informacyjnej i edukacyjnej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70c0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04-2022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Sprawozdanie śródokresowe ze współpracy w zakresie wymiany danych z powiązanymi inicjatywami w 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70c0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06-2022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 trakcie realizacji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Uruchomienie automatycznego wspomagania doradztwa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70c0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0" w:line="240" w:lineRule="auto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  <w:t xml:space="preserve">12-2022*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Przesunięcie terminu z 05/2022 na 12/2022 na podstawie pisemnej zgody Instytucji Pośredniczącej (MEiN), nr pisma DFS-WRCP.612.35.2021.PJ.36 z dnia 20 grudnia 2021 r. (korespondencja za pośrednictwem systemu informatycznego SL2014). IP w ww. piśmie zobowiązała IBE do uwzględnienia zmiany terminu osiągnięcia kamienia milowego w najbliższej modyfikacji wniosku o dofinansowanie. </w:t>
            </w:r>
            <w:r w:rsidDel="00000000" w:rsidR="00000000" w:rsidRPr="00000000">
              <w:rPr>
                <w:i w:val="1"/>
                <w:rtl w:val="0"/>
              </w:rPr>
              <w:t xml:space="preserve">Powodem przesunięcia terminu osiągnięcia kamienia milowego było złożenie odwołania do Krajowej Izby Odwoławczej przez jednego z oferentów w przetargu na wyłonienie wykonawcy narzędzia do automatycznego wspomagania doradztwa.</w:t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Podstawa prawna:</w:t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Umowa o dofinansowanie projektu § 24 pkt 1 Beneficjent może dokonywać zmian w Projekcie pod warunkiem ich zgłoszenia Instytucji Pośredniczącej w SL2014 oraz Systemie Obsługi Wniosków Aplikacyjnych nie później niż na 1 miesiąc przed planowanym zakończeniem realizacji Projektu oraz przekazania zaktualizowanego Wniosku i uzyskania akceptacji Instytucji Pośredniczącej, z zastrzeżeniem ust. 2 i 3. Akceptacja, o której mowa w zdaniu pierwszym, jest dokonywana w SL2014 oraz Systemie Obsługi Wniosków Aplikacyjnych w terminie 15 dni roboczych i nie wymaga formy aneksu do umowy.</w:t>
            </w:r>
          </w:p>
        </w:tc>
      </w:tr>
    </w:tbl>
    <w:p w:rsidR="00000000" w:rsidDel="00000000" w:rsidP="00000000" w:rsidRDefault="00000000" w:rsidRPr="00000000" w14:paraId="00000073">
      <w:pPr>
        <w:spacing w:after="120" w:befor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Wskaźniki efektywności projektu (KPI)</w:t>
      </w:r>
    </w:p>
    <w:tbl>
      <w:tblPr>
        <w:tblStyle w:val="Table4"/>
        <w:tblW w:w="963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5"/>
        <w:gridCol w:w="1278"/>
        <w:gridCol w:w="1842"/>
        <w:gridCol w:w="1701"/>
        <w:gridCol w:w="2268"/>
        <w:tblGridChange w:id="0">
          <w:tblGrid>
            <w:gridCol w:w="2545"/>
            <w:gridCol w:w="1278"/>
            <w:gridCol w:w="1842"/>
            <w:gridCol w:w="1701"/>
            <w:gridCol w:w="2268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Jedn. miary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</w:t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docelowa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Planowany termin osiągnięcia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osiągnięta od początku realizacji projektu (narastająco)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(1) Zapewnienie funkcjonowania Zintegrowanego Rejestru Kwalifikacji,</w:t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udostępniania jego zasobów i funkcjonalności za pośrednictwem różnych</w:t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kanałów komunikacji (portal, e-usługi i usługi API). KPI: Liczba wejść na stronę kwalifikacje.gov.pl</w:t>
            </w:r>
          </w:p>
        </w:tc>
        <w:tc>
          <w:tcPr/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750 000</w:t>
            </w:r>
          </w:p>
        </w:tc>
        <w:tc>
          <w:tcPr/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pomiar 1:</w:t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02-2022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pomiar 2:</w:t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12-2022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(2) Usprawnienie procesów opisywania kwalifikacji w języku efektów uczenia się i przypisywania poziomu PRK do kwalifikacji za pomocą narzędzi AI. KPI: skrócenie czasu obsługi opisu kwalifikacji i przypisania poziomu PRK do kwalifikacji.</w:t>
            </w:r>
          </w:p>
        </w:tc>
        <w:tc>
          <w:tcPr/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procent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85%</w:t>
            </w:r>
          </w:p>
        </w:tc>
        <w:tc>
          <w:tcPr/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03-2023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pStyle w:val="Heading2"/>
        <w:numPr>
          <w:ilvl w:val="0"/>
          <w:numId w:val="2"/>
        </w:numPr>
        <w:spacing w:after="120" w:before="360" w:lineRule="auto"/>
        <w:ind w:left="426" w:hanging="426"/>
        <w:rPr>
          <w:rFonts w:ascii="Arial" w:cs="Arial" w:eastAsia="Arial" w:hAnsi="Arial"/>
        </w:rPr>
      </w:pPr>
      <w:bookmarkStart w:colFirst="0" w:colLast="0" w:name="_heading=h.30j0zll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E-usługi A2A, A2B, A2C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&lt;</w:t>
      </w:r>
      <w:r w:rsidDel="00000000" w:rsidR="00000000" w:rsidRPr="00000000">
        <w:rPr>
          <w:rFonts w:ascii="Arial" w:cs="Arial" w:eastAsia="Arial" w:hAnsi="Arial"/>
          <w:color w:val="767171"/>
          <w:sz w:val="20"/>
          <w:szCs w:val="20"/>
          <w:rtl w:val="0"/>
        </w:rPr>
        <w:t xml:space="preserve">maksymalnie 2000 znaków&gt;</w:t>
      </w:r>
      <w:r w:rsidDel="00000000" w:rsidR="00000000" w:rsidRPr="00000000">
        <w:rPr>
          <w:rtl w:val="0"/>
        </w:rPr>
      </w:r>
    </w:p>
    <w:tbl>
      <w:tblPr>
        <w:tblStyle w:val="Table5"/>
        <w:tblW w:w="963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33"/>
        <w:gridCol w:w="1315"/>
        <w:gridCol w:w="1276"/>
        <w:gridCol w:w="4110"/>
        <w:tblGridChange w:id="0">
          <w:tblGrid>
            <w:gridCol w:w="2933"/>
            <w:gridCol w:w="1315"/>
            <w:gridCol w:w="1276"/>
            <w:gridCol w:w="4110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Opis zmian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Automatyczne wspomaganie doradztwa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12-2022*</w:t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Symbolem * oznaczono e-usługę, której planowana data wdrożenia uległa zmianie (wyjaśnienie w pkt 3 Postęp rzeczowy)</w:t>
      </w:r>
    </w:p>
    <w:p w:rsidR="00000000" w:rsidDel="00000000" w:rsidP="00000000" w:rsidRDefault="00000000" w:rsidRPr="00000000" w14:paraId="00000094">
      <w:pPr>
        <w:pStyle w:val="Heading2"/>
        <w:numPr>
          <w:ilvl w:val="0"/>
          <w:numId w:val="2"/>
        </w:numPr>
        <w:spacing w:before="360" w:lineRule="auto"/>
        <w:ind w:left="284" w:hanging="284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Udostępnione informacje sektora publicznego i zdigitalizowane zasoby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767171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ind w:firstLine="284"/>
        <w:rPr>
          <w:i w:val="1"/>
          <w:sz w:val="20"/>
          <w:szCs w:val="20"/>
        </w:rPr>
      </w:pPr>
      <w:r w:rsidDel="00000000" w:rsidR="00000000" w:rsidRPr="00000000">
        <w:rPr>
          <w:i w:val="1"/>
          <w:color w:val="000000"/>
          <w:rtl w:val="0"/>
        </w:rPr>
        <w:t xml:space="preserve">Nie dotyczy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Style w:val="Heading3"/>
        <w:numPr>
          <w:ilvl w:val="0"/>
          <w:numId w:val="2"/>
        </w:numPr>
        <w:spacing w:before="360" w:lineRule="auto"/>
        <w:ind w:left="426" w:hanging="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Produkty końcowe projektu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(inne niż wskazane w pkt 4 i 5) </w:t>
      </w:r>
      <w:r w:rsidDel="00000000" w:rsidR="00000000" w:rsidRPr="00000000">
        <w:rPr>
          <w:rFonts w:ascii="Arial" w:cs="Arial" w:eastAsia="Arial" w:hAnsi="Arial"/>
          <w:color w:val="767171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6"/>
        <w:tblW w:w="96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6"/>
        <w:gridCol w:w="1701"/>
        <w:gridCol w:w="1843"/>
        <w:gridCol w:w="3543"/>
        <w:tblGridChange w:id="0">
          <w:tblGrid>
            <w:gridCol w:w="2546"/>
            <w:gridCol w:w="1701"/>
            <w:gridCol w:w="1843"/>
            <w:gridCol w:w="3543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produktu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Komplementarność względem produktów innych projektów </w:t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Przeglądarka ram kwalifikacji (PRK, SRK)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12-2021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bookmarkStart w:colFirst="0" w:colLast="0" w:name="_heading=h.2et92p0" w:id="3"/>
            <w:bookmarkEnd w:id="3"/>
            <w:r w:rsidDel="00000000" w:rsidR="00000000" w:rsidRPr="00000000">
              <w:rPr>
                <w:rtl w:val="0"/>
              </w:rPr>
              <w:t xml:space="preserve">12-2021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Arial" w:cs="Arial" w:eastAsia="Arial" w:hAnsi="Arial"/>
                <w:i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Nie dotyczy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ind w:left="426" w:hanging="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Ryzyka </w:t>
      </w:r>
      <w:r w:rsidDel="00000000" w:rsidR="00000000" w:rsidRPr="00000000">
        <w:rPr>
          <w:rFonts w:ascii="Arial" w:cs="Arial" w:eastAsia="Arial" w:hAnsi="Arial"/>
          <w:color w:val="0070c0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color w:val="767171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12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Ryzyka wpływające na realizację projektu</w:t>
      </w:r>
      <w:r w:rsidDel="00000000" w:rsidR="00000000" w:rsidRPr="00000000">
        <w:rPr>
          <w:rtl w:val="0"/>
        </w:rPr>
      </w:r>
    </w:p>
    <w:tbl>
      <w:tblPr>
        <w:tblStyle w:val="Table7"/>
        <w:tblW w:w="960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70"/>
        <w:gridCol w:w="1410"/>
        <w:gridCol w:w="1416"/>
        <w:gridCol w:w="3504"/>
        <w:tblGridChange w:id="0">
          <w:tblGrid>
            <w:gridCol w:w="3270"/>
            <w:gridCol w:w="1410"/>
            <w:gridCol w:w="1416"/>
            <w:gridCol w:w="3504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2">
            <w:pPr>
              <w:spacing w:after="12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ryzyka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3">
            <w:pPr>
              <w:spacing w:after="12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Siła oddziaływania 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A4">
            <w:pPr>
              <w:spacing w:after="12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Prawdopodobieństwo wystąpienia ryzyka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5">
            <w:pPr>
              <w:spacing w:after="12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Sposób zarządzania ryzykiem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Ryzyko związane z niedotrzymaniem warunków umowy z wybranymi Wykonawcami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  <w:t xml:space="preserve">Zarządzanie ryzykiem polega na monitorowaniu i raportowaniu postępu prac. </w:t>
            </w:r>
          </w:p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1. Każde ze zleceń zewnętrznych (zamówienie, ogłoszenie) o wartości przekraczającej 100 tys. zł będzie oddzielnie traktowane jako „projekt z własnym zarządzaniem”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postępowaniach.</w:t>
            </w:r>
          </w:p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  <w:t xml:space="preserve">2. Spodziewany efekt - minimalizacja ryzyka związania się z jednym niesolidnym wykonawcą.</w:t>
            </w:r>
          </w:p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  <w:t xml:space="preserve">3.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0A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Ryzyko związane z niedotrzymaniem warunków umowy przez dostawcę usługi obliczeń w chmurze (np. ciągłość, bezpieczeństwo)</w:t>
            </w:r>
          </w:p>
        </w:tc>
        <w:tc>
          <w:tcPr/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  <w:t xml:space="preserve">1. IBE tworzy na własnych serwerach żywe kopie systemu.</w:t>
            </w:r>
          </w:p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  <w:t xml:space="preserve">2. Powyższe działanie  umożliwi kontynuowanie funkcjonowania rejestru po ew. kilkugodzinnej przerwie.</w:t>
            </w:r>
          </w:p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3.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0B3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Ryzyko związane z niepowołanym</w:t>
            </w:r>
          </w:p>
          <w:p w:rsidR="00000000" w:rsidDel="00000000" w:rsidP="00000000" w:rsidRDefault="00000000" w:rsidRPr="00000000" w14:paraId="000000B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dostępem do oprogramowania rejestru</w:t>
            </w:r>
          </w:p>
        </w:tc>
        <w:tc>
          <w:tcPr/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Rejestr nie przechowuje danych wrażliwych ani innych danych poufnych. </w:t>
            </w:r>
          </w:p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  <w:t xml:space="preserve">1. Dostęp do systemu jest monitorowany, sam system został przetestowany, oprogramowanie systemowe jest uaktualniane, wykonywane są kopie bezpieczeństwa.</w:t>
            </w:r>
          </w:p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  <w:t xml:space="preserve">2. Spodziewany efekt – minimalizacja ryzyka niepowołanego dostępu do oprogramowania rejestru.</w:t>
            </w:r>
          </w:p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  <w:t xml:space="preserve">3.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  <w:t xml:space="preserve">Ryzyko opóźnień związane </w:t>
              <w:br w:type="textWrapping"/>
              <w:t xml:space="preserve">z COVID-19</w:t>
            </w:r>
          </w:p>
        </w:tc>
        <w:tc>
          <w:tcPr/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Wysoka</w:t>
            </w:r>
          </w:p>
        </w:tc>
        <w:tc>
          <w:tcPr/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  <w:t xml:space="preserve">Średnie</w:t>
            </w:r>
          </w:p>
        </w:tc>
        <w:tc>
          <w:tcPr/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  <w:t xml:space="preserve">1. Dostosowanie do modelu pracy zdalnej w zespołach poszczególnych zadań projektu. </w:t>
            </w:r>
          </w:p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  <w:t xml:space="preserve">2. Ograniczenie ryzyka zakażeń. Przyjęcie dodatkowych buforów czasu w procesie planowania. Realizacja zadań projektu zgodnie z przyjętym harmonogramem.</w:t>
            </w:r>
          </w:p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3.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  <w:t xml:space="preserve">Ograniczenia w dostępności kadry</w:t>
            </w:r>
          </w:p>
        </w:tc>
        <w:tc>
          <w:tcPr/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  <w:t xml:space="preserve">Wysoka</w:t>
            </w:r>
          </w:p>
        </w:tc>
        <w:tc>
          <w:tcPr/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  <w:t xml:space="preserve">Średnie</w:t>
            </w:r>
          </w:p>
        </w:tc>
        <w:tc>
          <w:tcPr/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  <w:t xml:space="preserve">1. Zapewnienie wsparcia szkoleniowego oraz odpowiedniego funduszu wynagrodzeń. </w:t>
            </w:r>
          </w:p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  <w:t xml:space="preserve">2. Zapewnienie odpowiednich zasobów ludzkich do realizacji zadań projektu.</w:t>
            </w:r>
          </w:p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  <w:t xml:space="preserve">3. Nie nastąpiła zmiana w zakresie ryzyka w stosunku do poprzedniego okresu sprawozdawczego.</w:t>
            </w:r>
          </w:p>
        </w:tc>
      </w:tr>
    </w:tbl>
    <w:p w:rsidR="00000000" w:rsidDel="00000000" w:rsidP="00000000" w:rsidRDefault="00000000" w:rsidRPr="00000000" w14:paraId="000000C7">
      <w:pPr>
        <w:spacing w:after="120" w:befor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Ryzyka wpływające na utrzymanie efektów projektu</w:t>
      </w:r>
    </w:p>
    <w:tbl>
      <w:tblPr>
        <w:tblStyle w:val="Table8"/>
        <w:tblW w:w="964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55"/>
        <w:gridCol w:w="1423"/>
        <w:gridCol w:w="1418"/>
        <w:gridCol w:w="3549"/>
        <w:tblGridChange w:id="0">
          <w:tblGrid>
            <w:gridCol w:w="3255"/>
            <w:gridCol w:w="1423"/>
            <w:gridCol w:w="1418"/>
            <w:gridCol w:w="3549"/>
          </w:tblGrid>
        </w:tblGridChange>
      </w:tblGrid>
      <w:tr>
        <w:trPr>
          <w:cantSplit w:val="0"/>
          <w:trHeight w:val="724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ryzyka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70c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Siła oddziaływania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bookmarkStart w:colFirst="0" w:colLast="0" w:name="_heading=h.tyjcwt" w:id="4"/>
            <w:bookmarkEnd w:id="4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Prawdopodobieństwo wystąpienia ryzyka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70c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Sposób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zarządzania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 ryzykiem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both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Niezasilanie ZRK danymi z systemów szkolnictwa wyższego i oświaty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  <w:t xml:space="preserve">Średnie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Monitorowanie źródeł informacji i informowanie z wyprzedzeniem ministra - koordynatora ZSK, w celu podjęcia interwencji na poziomie systemowym</w:t>
            </w:r>
          </w:p>
        </w:tc>
      </w:tr>
    </w:tbl>
    <w:p w:rsidR="00000000" w:rsidDel="00000000" w:rsidP="00000000" w:rsidRDefault="00000000" w:rsidRPr="00000000" w14:paraId="000000D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0" w:lineRule="auto"/>
        <w:ind w:left="3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Wymiarowanie systemu informatycznego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240" w:lineRule="auto"/>
        <w:ind w:left="284" w:firstLine="0"/>
        <w:jc w:val="both"/>
        <w:rPr/>
      </w:pPr>
      <w:r w:rsidDel="00000000" w:rsidR="00000000" w:rsidRPr="00000000">
        <w:rPr>
          <w:rtl w:val="0"/>
        </w:rPr>
        <w:t xml:space="preserve">Nie dotyczy</w:t>
      </w:r>
    </w:p>
    <w:p w:rsidR="00000000" w:rsidDel="00000000" w:rsidP="00000000" w:rsidRDefault="00000000" w:rsidRPr="00000000" w14:paraId="000000D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0" w:lineRule="auto"/>
        <w:ind w:left="360" w:hanging="360"/>
        <w:jc w:val="both"/>
        <w:rPr>
          <w:rFonts w:ascii="Arial" w:cs="Arial" w:eastAsia="Arial" w:hAnsi="Arial"/>
        </w:rPr>
      </w:pPr>
      <w:bookmarkStart w:colFirst="0" w:colLast="0" w:name="_heading=h.1fob9te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Dane kontaktowe: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Agnieszka Marszałek, Instytut Badań Edukacyjnych, A.Marszalek@ibe.edu.pl, tel. +48 </w:t>
      </w:r>
      <w:r w:rsidDel="00000000" w:rsidR="00000000" w:rsidRPr="00000000">
        <w:rPr>
          <w:rtl w:val="0"/>
        </w:rPr>
        <w:t xml:space="preserve">603 463 227.</w:t>
      </w: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417" w:top="1417" w:left="1418" w:right="141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Strona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z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Sekcja dotyczy projektów realizowanych ze środków UE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rFonts w:ascii="Calibri" w:cs="Calibri" w:eastAsia="Calibri" w:hAnsi="Calibri"/>
        <w:b w:val="1"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4e79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 w:val="1"/>
    <w:qFormat w:val="1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4e79" w:themeColor="accent1" w:themeShade="000080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dymka">
    <w:name w:val="Balloon Text"/>
    <w:basedOn w:val="Normalny"/>
    <w:link w:val="TekstdymkaZnak"/>
    <w:unhideWhenUsed w:val="1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 w:val="1"/>
    <w:unhideWhenUsed w:val="1"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cs="Times New Roman" w:eastAsia="Times New Roman" w:hAnsi="Arial"/>
      <w:sz w:val="24"/>
      <w:szCs w:val="24"/>
      <w:lang w:val="en-US"/>
    </w:rPr>
  </w:style>
  <w:style w:type="paragraph" w:styleId="Legenda">
    <w:name w:val="caption"/>
    <w:basedOn w:val="Normalny"/>
    <w:next w:val="Normalny"/>
    <w:qFormat w:val="1"/>
    <w:pPr>
      <w:widowControl w:val="0"/>
      <w:suppressAutoHyphens w:val="1"/>
      <w:spacing w:after="0" w:line="240" w:lineRule="auto"/>
    </w:pPr>
    <w:rPr>
      <w:rFonts w:ascii="Times New Roman" w:cs="Times New Roman" w:eastAsia="Arial Unicode MS" w:hAnsi="Times New Roman"/>
      <w:b w:val="1"/>
      <w:bCs w:val="1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 w:val="1"/>
    <w:qFormat w:val="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qFormat w:val="1"/>
    <w:rPr>
      <w:b w:val="1"/>
      <w:bCs w:val="1"/>
    </w:rPr>
  </w:style>
  <w:style w:type="paragraph" w:styleId="Stopka">
    <w:name w:val="footer"/>
    <w:basedOn w:val="Normalny"/>
    <w:link w:val="StopkaZnak"/>
    <w:uiPriority w:val="99"/>
    <w:unhideWhenUsed w:val="1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qFormat w:val="1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qFormat w:val="1"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 w:val="1"/>
    <w:qFormat w:val="1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Pr>
      <w:vertAlign w:val="superscript"/>
    </w:rPr>
  </w:style>
  <w:style w:type="character" w:styleId="Hipercze">
    <w:name w:val="Hyperlink"/>
    <w:basedOn w:val="Domylnaczcionkaakapitu"/>
    <w:uiPriority w:val="99"/>
    <w:semiHidden w:val="1"/>
    <w:unhideWhenUsed w:val="1"/>
    <w:qFormat w:val="1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">
    <w:name w:val="List Paragraph"/>
    <w:basedOn w:val="Normalny"/>
    <w:uiPriority w:val="34"/>
    <w:qFormat w:val="1"/>
    <w:pPr>
      <w:ind w:left="720"/>
      <w:contextualSpacing w:val="1"/>
    </w:pPr>
  </w:style>
  <w:style w:type="character" w:styleId="TekstkomentarzaZnak" w:customStyle="1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dymkaZnak" w:customStyle="1">
    <w:name w:val="Tekst dymka Znak"/>
    <w:basedOn w:val="Domylnaczcionkaakapitu"/>
    <w:link w:val="Tekstdymka"/>
    <w:qFormat w:val="1"/>
    <w:rPr>
      <w:rFonts w:ascii="Segoe UI" w:cs="Segoe UI" w:hAnsi="Segoe UI"/>
      <w:sz w:val="18"/>
      <w:szCs w:val="18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Pr>
      <w:sz w:val="20"/>
      <w:szCs w:val="20"/>
    </w:rPr>
  </w:style>
  <w:style w:type="character" w:styleId="Nagwek1Znak" w:customStyle="1">
    <w:name w:val="Nagłówek 1 Znak"/>
    <w:basedOn w:val="Domylnaczcionkaakapitu"/>
    <w:link w:val="Nagwek1"/>
    <w:uiPriority w:val="9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Pr>
      <w:rFonts w:asciiTheme="majorHAnsi" w:cstheme="majorBidi" w:eastAsiaTheme="majorEastAsia" w:hAnsiTheme="majorHAnsi"/>
      <w:color w:val="1f4e79" w:themeColor="accent1" w:themeShade="000080"/>
      <w:sz w:val="24"/>
      <w:szCs w:val="24"/>
    </w:rPr>
  </w:style>
  <w:style w:type="character" w:styleId="NagwekZnak" w:customStyle="1">
    <w:name w:val="Nagłówek Znak"/>
    <w:basedOn w:val="Domylnaczcionkaakapitu"/>
    <w:link w:val="Nagwek"/>
    <w:uiPriority w:val="99"/>
  </w:style>
  <w:style w:type="character" w:styleId="StopkaZnak" w:customStyle="1">
    <w:name w:val="Stopka Znak"/>
    <w:basedOn w:val="Domylnaczcionkaakapitu"/>
    <w:link w:val="Stopka"/>
    <w:uiPriority w:val="99"/>
  </w:style>
  <w:style w:type="paragraph" w:styleId="Bodytext1blueitalic" w:customStyle="1">
    <w:name w:val="Body text 1 + blue + italic"/>
    <w:basedOn w:val="Normalny"/>
    <w:qFormat w:val="1"/>
    <w:pPr>
      <w:framePr w:lines="0" w:hSpace="181" w:wrap="around" w:hAnchor="page" w:vAnchor="text" w:xAlign="center" w:y="1"/>
      <w:widowControl w:val="0"/>
      <w:spacing w:after="240" w:before="240" w:line="240" w:lineRule="auto"/>
      <w:ind w:left="360"/>
    </w:pPr>
    <w:rPr>
      <w:rFonts w:ascii="Times New Roman" w:cs="Times New Roman" w:eastAsia="Times New Roman" w:hAnsi="Times New Roman"/>
      <w:iCs w:val="1"/>
      <w:color w:val="0070c0"/>
      <w:sz w:val="24"/>
      <w:szCs w:val="24"/>
      <w:lang w:val="en-GB"/>
    </w:rPr>
  </w:style>
  <w:style w:type="paragraph" w:styleId="BodyText1" w:customStyle="1">
    <w:name w:val="Body Text 1"/>
    <w:basedOn w:val="Normalny"/>
    <w:link w:val="BodyText1Char"/>
    <w:qFormat w:val="1"/>
    <w:pPr>
      <w:framePr w:lines="0" w:hSpace="181" w:wrap="around" w:hAnchor="margin" w:vAnchor="text" w:y="530"/>
      <w:widowControl w:val="0"/>
      <w:spacing w:after="240" w:before="240" w:line="240" w:lineRule="auto"/>
      <w:ind w:left="360"/>
    </w:pPr>
    <w:rPr>
      <w:rFonts w:ascii="Arial" w:cs="Arial" w:eastAsia="Times New Roman" w:hAnsi="Arial"/>
      <w:b w:val="1"/>
      <w:iCs w:val="1"/>
      <w:color w:val="0070c0"/>
    </w:rPr>
  </w:style>
  <w:style w:type="character" w:styleId="BodyText1Char" w:customStyle="1">
    <w:name w:val="Body Text 1 Char"/>
    <w:basedOn w:val="Domylnaczcionkaakapitu"/>
    <w:link w:val="BodyText1"/>
    <w:rPr>
      <w:rFonts w:ascii="Arial" w:cs="Arial" w:eastAsia="Times New Roman" w:hAnsi="Arial"/>
      <w:b w:val="1"/>
      <w:iCs w:val="1"/>
      <w:color w:val="0070c0"/>
    </w:rPr>
  </w:style>
  <w:style w:type="character" w:styleId="Tekstpodstawowy2Znak" w:customStyle="1">
    <w:name w:val="Tekst podstawowy 2 Znak"/>
    <w:basedOn w:val="Domylnaczcionkaakapitu"/>
    <w:link w:val="Tekstpodstawowy2"/>
    <w:rPr>
      <w:rFonts w:ascii="Arial" w:cs="Times New Roman" w:eastAsia="Times New Roman" w:hAnsi="Arial"/>
      <w:sz w:val="24"/>
      <w:szCs w:val="24"/>
      <w:lang w:val="en-US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 w:val="1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8Q2pVWMQgJGpBp0+kWkAeyJXcw==">AMUW2mV8h95a0AcGckyCp9vKksqdO7OVZyxgOKqM+Utc8dnOQ/wYILKR+2EUwc0oe+ZHwZbowyUXr+crutR6xufvBBp7CGy1Mj1VtJga2bzNp6kNboPw+DWdY1gf8cW5z9GDKzlPJaq55ZQIEudVTTS8SNYeRnMYpkerInAD3BxuiS82Ei44//jkFlZJcJ/LpJCCmp7i4b+M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2021-12-30T11:41:00Z</dcterms:created>
  <dc:creator>ZRK2-PA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